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XI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834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80"/>
        <w:gridCol w:w="2535"/>
        <w:gridCol w:w="2325"/>
        <w:gridCol w:w="1800"/>
        <w:tblGridChange w:id="0">
          <w:tblGrid>
            <w:gridCol w:w="1680"/>
            <w:gridCol w:w="2535"/>
            <w:gridCol w:w="2325"/>
            <w:gridCol w:w="1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Tipo de Contrapartida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Quando será realizada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 da Realização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Público Alvo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Ex: Aula Gratuita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10/17/2024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de 10 a 15 anos</w:t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Descreva abaixo como será realizada a contrapartida: 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righ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Indaial, ___ de _______________de 2023.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REPRESENTANTE</w:t>
      </w:r>
    </w:p>
    <w:p w:rsidR="00000000" w:rsidDel="00000000" w:rsidP="00000000" w:rsidRDefault="00000000" w:rsidRPr="00000000" w14:paraId="00000017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8019" l="0" r="0" t="42767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  002/2023 - FUNDAÇÃO INDAIALENSE DE CULTURA - PARA FOMENTO À EXECUÇÃO DE AÇÕES CULTURAIS DAS DEMAIS ÁREAS CULTURAIS - EXCETO AUDIOVISUAL.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PalKclFAlPedmslKDJg5jO72qg==">CgMxLjA4AHIhMU9BaHdObUZ4NlY5bVVEZ2ZSQi1JSEFCYUpRa241VTJN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