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z w:val="27"/>
          <w:szCs w:val="27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XII - PLANILHA ORÇAMENTÁRIA</w:t>
      </w: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Layout w:type="fixed"/>
        <w:tblLook w:val="0400"/>
      </w:tblPr>
      <w:tblGrid>
        <w:gridCol w:w="1230"/>
        <w:gridCol w:w="2580"/>
        <w:gridCol w:w="1755"/>
        <w:gridCol w:w="1515"/>
        <w:gridCol w:w="1485"/>
        <w:gridCol w:w="1545"/>
        <w:gridCol w:w="3120"/>
        <w:tblGridChange w:id="0">
          <w:tblGrid>
            <w:gridCol w:w="1230"/>
            <w:gridCol w:w="2580"/>
            <w:gridCol w:w="1755"/>
            <w:gridCol w:w="1515"/>
            <w:gridCol w:w="1485"/>
            <w:gridCol w:w="1545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Referência de 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Salicnet – Oficina/workshop/seminário Audiovisual – Brasília – Fotografia Artística –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 002/2023 - FUNDAÇÃO INDAIALENSE DE CULTURA - PARA FOMENTO À EXECUÇÃO DE AÇÕES CULTURAIS DAS DEMAIS ÁREAS CULTURAIS - EXCETO AUDIOVISUAL.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280" w:line="240" w:lineRule="auto"/>
      <w:jc w:val="left"/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AZ4ijtgrq316GvgBwMPifD+Tg==">CgMxLjA4AHIhMXdDdXZBdEtGeGY0SkppLWg4dmdEbTZCTDJmSWVSUUVT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