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131" w:lineRule="auto"/>
        <w:ind w:left="180" w:right="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ANEXO II – TERMO DE ADESÃO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52" w:lineRule="auto"/>
        <w:ind w:left="3004" w:right="3007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CREDENCIAMENTO Nº 001/202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292"/>
        </w:tabs>
        <w:spacing w:line="360" w:lineRule="auto"/>
        <w:ind w:left="180" w:right="178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através de seu Representante legal, declara sua ciência e anuência a todos os termos fixados no Credenciamento nº. 001/202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, tendo como objetivo o </w:t>
      </w:r>
      <w:r w:rsidDel="00000000" w:rsidR="00000000" w:rsidRPr="00000000">
        <w:rPr>
          <w:b w:val="1"/>
          <w:sz w:val="24"/>
          <w:szCs w:val="24"/>
          <w:rtl w:val="0"/>
        </w:rPr>
        <w:t xml:space="preserve">CREDENCIAMENTO DESTINADO A CONTRATAÇÃO DE ENTIDADES SEM FINS LUCRATIVOS, SEDIADAS NO MUNICÍPIO DE INDAIAL, PARA REALIZAR A COMERCIALIZAÇÃO DE ALIMENTOS E BEBIDAS DURANTE A REALIZAÇÃO DO </w:t>
      </w:r>
      <w:r w:rsidDel="00000000" w:rsidR="00000000" w:rsidRPr="00000000">
        <w:rPr>
          <w:b w:val="1"/>
          <w:rtl w:val="0"/>
        </w:rPr>
        <w:t xml:space="preserve">“Páscoa em Indaial 2025 no evento “1ª Caça aos Ovos de Páscoa no Parque”, que ocorrerá no dia 13 de abril de 2025, no Parque Municipal Jorge Hardt.</w:t>
      </w:r>
      <w:r w:rsidDel="00000000" w:rsidR="00000000" w:rsidRPr="00000000">
        <w:rPr>
          <w:sz w:val="24"/>
          <w:szCs w:val="24"/>
          <w:rtl w:val="0"/>
        </w:rPr>
        <w:t xml:space="preserve">, para atender a Fundação Indaialense de 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190500</wp:posOffset>
                </wp:positionV>
                <wp:extent cx="296354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4600" y="3778020"/>
                          <a:ext cx="2962800" cy="3960"/>
                        </a:xfrm>
                        <a:prstGeom prst="rect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190500</wp:posOffset>
                </wp:positionV>
                <wp:extent cx="296354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35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5" w:lineRule="auto"/>
        <w:ind w:left="3004" w:right="3007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Assinatura/Data: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24"/>
        </w:tabs>
        <w:spacing w:after="140" w:before="0" w:line="276" w:lineRule="auto"/>
        <w:ind w:left="18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Legível do representante legal: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888" w:right="0" w:firstLine="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