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XVI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b w:val="1"/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Descreva de forma resumida como foi a execução do projeto, destacando principais resultados e benefícios gerados e outras informações pertinentes.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highlight w:val="yellow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[informe como a meta foi cumprida]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[Descreva a meta, conforme consta no projeto apresentado]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[Explique porque a meta não foi cumprida]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Você pode marcar mais de uma opção. Informe também as quantidades.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)Promoveu as práticas culturais do coletivo no espaço em que foi desenvolvido.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gridCol w:w="1255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  <w:gridCol w:w="1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A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Informe como o projeto foi divulgado. Ex.: Divulgado no Instagram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rPr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63892" cy="663892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</w:t>
    </w:r>
    <w:r w:rsidDel="00000000" w:rsidR="00000000" w:rsidRPr="00000000">
      <w:rPr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Yu1gy85kxjWelJnDdYeA91iYg==">CgMxLjA4AHIhMW9Zejc0aFdINXRjV2Z4SzA5YktTZW96SEtkbnFwd0hz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